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9104"/>
      </w:tblGrid>
      <w:tr w:rsidR="00927DF9" w:rsidRPr="00927DF9" w:rsidTr="00927DF9">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927DF9" w:rsidRPr="00927DF9">
              <w:trPr>
                <w:trHeight w:val="317"/>
                <w:jc w:val="center"/>
              </w:trPr>
              <w:tc>
                <w:tcPr>
                  <w:tcW w:w="2931" w:type="dxa"/>
                  <w:tcBorders>
                    <w:top w:val="nil"/>
                    <w:left w:val="nil"/>
                    <w:bottom w:val="single" w:sz="4" w:space="0" w:color="660066"/>
                    <w:right w:val="nil"/>
                  </w:tcBorders>
                  <w:vAlign w:val="center"/>
                  <w:hideMark/>
                </w:tcPr>
                <w:p w:rsidR="00927DF9" w:rsidRPr="00927DF9" w:rsidRDefault="00927DF9" w:rsidP="00927DF9">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927DF9">
                    <w:rPr>
                      <w:rFonts w:ascii="Arial" w:eastAsia="Times New Roman" w:hAnsi="Arial" w:cs="Arial"/>
                      <w:sz w:val="16"/>
                      <w:szCs w:val="16"/>
                      <w:lang w:eastAsia="tr-TR"/>
                    </w:rPr>
                    <w:t>31 Aralık 2019 SALI</w:t>
                  </w:r>
                </w:p>
              </w:tc>
              <w:tc>
                <w:tcPr>
                  <w:tcW w:w="2931" w:type="dxa"/>
                  <w:tcBorders>
                    <w:top w:val="nil"/>
                    <w:left w:val="nil"/>
                    <w:bottom w:val="single" w:sz="4" w:space="0" w:color="660066"/>
                    <w:right w:val="nil"/>
                  </w:tcBorders>
                  <w:vAlign w:val="center"/>
                  <w:hideMark/>
                </w:tcPr>
                <w:p w:rsidR="00927DF9" w:rsidRPr="00927DF9" w:rsidRDefault="00927DF9" w:rsidP="00927DF9">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927DF9">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927DF9" w:rsidRPr="00927DF9" w:rsidRDefault="00927DF9" w:rsidP="00927DF9">
                  <w:pPr>
                    <w:spacing w:before="100" w:beforeAutospacing="1" w:after="100" w:afterAutospacing="1" w:line="240" w:lineRule="auto"/>
                    <w:jc w:val="right"/>
                    <w:rPr>
                      <w:rFonts w:ascii="Arial" w:eastAsia="Times New Roman" w:hAnsi="Arial" w:cs="Arial"/>
                      <w:b/>
                      <w:bCs/>
                      <w:sz w:val="16"/>
                      <w:szCs w:val="16"/>
                      <w:lang w:eastAsia="tr-TR"/>
                    </w:rPr>
                  </w:pPr>
                  <w:proofErr w:type="gramStart"/>
                  <w:r w:rsidRPr="00927DF9">
                    <w:rPr>
                      <w:rFonts w:ascii="Arial" w:eastAsia="Times New Roman" w:hAnsi="Arial" w:cs="Arial"/>
                      <w:sz w:val="16"/>
                      <w:szCs w:val="16"/>
                      <w:lang w:eastAsia="tr-TR"/>
                    </w:rPr>
                    <w:t>Sayı :</w:t>
                  </w:r>
                  <w:proofErr w:type="gramEnd"/>
                  <w:r w:rsidRPr="00927DF9">
                    <w:rPr>
                      <w:rFonts w:ascii="Arial" w:eastAsia="Times New Roman" w:hAnsi="Arial" w:cs="Arial"/>
                      <w:sz w:val="16"/>
                      <w:szCs w:val="16"/>
                      <w:lang w:eastAsia="tr-TR"/>
                    </w:rPr>
                    <w:t xml:space="preserve"> 30995 </w:t>
                  </w:r>
                  <w:r w:rsidRPr="00927DF9">
                    <w:rPr>
                      <w:rFonts w:ascii="Arial" w:eastAsia="Times New Roman" w:hAnsi="Arial" w:cs="Arial"/>
                      <w:b/>
                      <w:bCs/>
                      <w:sz w:val="16"/>
                      <w:szCs w:val="16"/>
                      <w:lang w:eastAsia="tr-TR"/>
                    </w:rPr>
                    <w:t>(5. Mükerrer)</w:t>
                  </w:r>
                </w:p>
              </w:tc>
            </w:tr>
            <w:tr w:rsidR="00927DF9" w:rsidRPr="00927DF9">
              <w:trPr>
                <w:trHeight w:val="480"/>
                <w:jc w:val="center"/>
              </w:trPr>
              <w:tc>
                <w:tcPr>
                  <w:tcW w:w="8789" w:type="dxa"/>
                  <w:gridSpan w:val="3"/>
                  <w:vAlign w:val="center"/>
                  <w:hideMark/>
                </w:tcPr>
                <w:p w:rsidR="00927DF9" w:rsidRPr="00927DF9" w:rsidRDefault="00927DF9" w:rsidP="00927DF9">
                  <w:pPr>
                    <w:spacing w:before="100" w:beforeAutospacing="1" w:after="100" w:afterAutospacing="1" w:line="240" w:lineRule="auto"/>
                    <w:jc w:val="center"/>
                    <w:rPr>
                      <w:rFonts w:ascii="Arial" w:eastAsia="Times New Roman" w:hAnsi="Arial" w:cs="Arial"/>
                      <w:b/>
                      <w:color w:val="000080"/>
                      <w:sz w:val="18"/>
                      <w:szCs w:val="18"/>
                      <w:lang w:eastAsia="tr-TR"/>
                    </w:rPr>
                  </w:pPr>
                  <w:r w:rsidRPr="00927DF9">
                    <w:rPr>
                      <w:rFonts w:ascii="Arial" w:eastAsia="Times New Roman" w:hAnsi="Arial" w:cs="Arial"/>
                      <w:b/>
                      <w:color w:val="000080"/>
                      <w:sz w:val="18"/>
                      <w:szCs w:val="18"/>
                      <w:lang w:eastAsia="tr-TR"/>
                    </w:rPr>
                    <w:t>TEBLİĞ</w:t>
                  </w:r>
                </w:p>
              </w:tc>
            </w:tr>
            <w:tr w:rsidR="00927DF9" w:rsidRPr="00927DF9">
              <w:trPr>
                <w:trHeight w:val="480"/>
                <w:jc w:val="center"/>
              </w:trPr>
              <w:tc>
                <w:tcPr>
                  <w:tcW w:w="8789" w:type="dxa"/>
                  <w:gridSpan w:val="3"/>
                  <w:vAlign w:val="center"/>
                </w:tcPr>
                <w:p w:rsidR="00927DF9" w:rsidRPr="00927DF9" w:rsidRDefault="00927DF9" w:rsidP="00927DF9">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927DF9">
                    <w:rPr>
                      <w:rFonts w:ascii="Times New Roman" w:eastAsia="Times New Roman" w:hAnsi="Times New Roman" w:cs="Times New Roman"/>
                      <w:sz w:val="18"/>
                      <w:szCs w:val="18"/>
                      <w:u w:val="single"/>
                      <w:lang w:eastAsia="tr-TR"/>
                    </w:rPr>
                    <w:t>Hazine ve Maliye Bakanlığından:</w:t>
                  </w:r>
                </w:p>
                <w:p w:rsidR="00927DF9" w:rsidRPr="00927DF9" w:rsidRDefault="00927DF9" w:rsidP="00927DF9">
                  <w:pPr>
                    <w:tabs>
                      <w:tab w:val="left" w:pos="566"/>
                    </w:tabs>
                    <w:spacing w:after="0" w:line="240" w:lineRule="exact"/>
                    <w:jc w:val="center"/>
                    <w:rPr>
                      <w:rFonts w:ascii="Times New Roman" w:eastAsia="Times New Roman" w:hAnsi="Times New Roman" w:cs="Times New Roman"/>
                      <w:b/>
                      <w:sz w:val="18"/>
                      <w:szCs w:val="18"/>
                      <w:lang w:eastAsia="tr-TR"/>
                    </w:rPr>
                  </w:pPr>
                  <w:r w:rsidRPr="00927DF9">
                    <w:rPr>
                      <w:rFonts w:ascii="Times New Roman" w:eastAsia="Times New Roman" w:hAnsi="Times New Roman" w:cs="Times New Roman"/>
                      <w:b/>
                      <w:sz w:val="18"/>
                      <w:szCs w:val="18"/>
                      <w:lang w:eastAsia="tr-TR"/>
                    </w:rPr>
                    <w:t xml:space="preserve">TÜRK PARASI KIYMETİNİ KORUMA HAKKINDA 32 SAYILI KARARA İLİŞKİN </w:t>
                  </w:r>
                </w:p>
                <w:p w:rsidR="00927DF9" w:rsidRPr="00927DF9" w:rsidRDefault="00927DF9" w:rsidP="00927DF9">
                  <w:pPr>
                    <w:tabs>
                      <w:tab w:val="left" w:pos="566"/>
                    </w:tabs>
                    <w:spacing w:after="0" w:line="240" w:lineRule="exact"/>
                    <w:jc w:val="center"/>
                    <w:rPr>
                      <w:rFonts w:ascii="Times New Roman" w:eastAsia="Times New Roman" w:hAnsi="Times New Roman" w:cs="Times New Roman"/>
                      <w:b/>
                      <w:sz w:val="18"/>
                      <w:szCs w:val="18"/>
                      <w:lang w:eastAsia="tr-TR"/>
                    </w:rPr>
                  </w:pPr>
                  <w:r w:rsidRPr="00927DF9">
                    <w:rPr>
                      <w:rFonts w:ascii="Times New Roman" w:eastAsia="Times New Roman" w:hAnsi="Times New Roman" w:cs="Times New Roman"/>
                      <w:b/>
                      <w:sz w:val="18"/>
                      <w:szCs w:val="18"/>
                      <w:lang w:eastAsia="tr-TR"/>
                    </w:rPr>
                    <w:t xml:space="preserve">TEBLİĞ (İHRACAT BEDELLERİ HAKKINDA) (TEBLİĞ NO: 2018-32/48)’DE </w:t>
                  </w:r>
                </w:p>
                <w:p w:rsidR="00927DF9" w:rsidRPr="00927DF9" w:rsidRDefault="00927DF9" w:rsidP="00927DF9">
                  <w:pPr>
                    <w:tabs>
                      <w:tab w:val="left" w:pos="566"/>
                    </w:tabs>
                    <w:spacing w:after="0" w:line="240" w:lineRule="exact"/>
                    <w:jc w:val="center"/>
                    <w:rPr>
                      <w:rFonts w:ascii="Times New Roman" w:eastAsia="Times New Roman" w:hAnsi="Times New Roman" w:cs="Times New Roman"/>
                      <w:b/>
                      <w:sz w:val="18"/>
                      <w:szCs w:val="18"/>
                      <w:lang w:eastAsia="tr-TR"/>
                    </w:rPr>
                  </w:pPr>
                  <w:r w:rsidRPr="00927DF9">
                    <w:rPr>
                      <w:rFonts w:ascii="Times New Roman" w:eastAsia="Times New Roman" w:hAnsi="Times New Roman" w:cs="Times New Roman"/>
                      <w:b/>
                      <w:sz w:val="18"/>
                      <w:szCs w:val="18"/>
                      <w:lang w:eastAsia="tr-TR"/>
                    </w:rPr>
                    <w:t xml:space="preserve">DEĞİŞİKLİK YAPILMASINA DAİR TEBLİĞ </w:t>
                  </w:r>
                </w:p>
                <w:p w:rsidR="00927DF9" w:rsidRPr="00927DF9" w:rsidRDefault="00927DF9" w:rsidP="00927DF9">
                  <w:pPr>
                    <w:tabs>
                      <w:tab w:val="left" w:pos="566"/>
                    </w:tabs>
                    <w:spacing w:after="0" w:line="240" w:lineRule="exact"/>
                    <w:jc w:val="center"/>
                    <w:rPr>
                      <w:rFonts w:ascii="Times New Roman" w:eastAsia="Times New Roman" w:hAnsi="Times New Roman" w:cs="Times New Roman"/>
                      <w:b/>
                      <w:sz w:val="18"/>
                      <w:szCs w:val="18"/>
                      <w:lang w:eastAsia="tr-TR"/>
                    </w:rPr>
                  </w:pPr>
                  <w:r w:rsidRPr="00927DF9">
                    <w:rPr>
                      <w:rFonts w:ascii="Times New Roman" w:eastAsia="Times New Roman" w:hAnsi="Times New Roman" w:cs="Times New Roman"/>
                      <w:b/>
                      <w:sz w:val="18"/>
                      <w:szCs w:val="18"/>
                      <w:lang w:eastAsia="tr-TR"/>
                    </w:rPr>
                    <w:t>(TEBLİĞ NO: 2019-32/56)</w:t>
                  </w:r>
                </w:p>
                <w:p w:rsidR="00927DF9" w:rsidRPr="00927DF9" w:rsidRDefault="00927DF9" w:rsidP="0092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DF9">
                    <w:rPr>
                      <w:rFonts w:ascii="Times New Roman" w:eastAsia="Times New Roman" w:hAnsi="Times New Roman" w:cs="Times New Roman"/>
                      <w:b/>
                      <w:sz w:val="18"/>
                      <w:szCs w:val="18"/>
                      <w:lang w:eastAsia="tr-TR"/>
                    </w:rPr>
                    <w:t>MADDE 1 –</w:t>
                  </w:r>
                  <w:r w:rsidRPr="00927DF9">
                    <w:rPr>
                      <w:rFonts w:ascii="Times New Roman" w:eastAsia="Times New Roman" w:hAnsi="Times New Roman" w:cs="Times New Roman"/>
                      <w:sz w:val="18"/>
                      <w:szCs w:val="18"/>
                      <w:lang w:eastAsia="tr-TR"/>
                    </w:rPr>
                    <w:t xml:space="preserve"> 4/9/2018 tarihli ve 30525 sayılı Resmî </w:t>
                  </w:r>
                  <w:proofErr w:type="spellStart"/>
                  <w:r w:rsidRPr="00927DF9">
                    <w:rPr>
                      <w:rFonts w:ascii="Times New Roman" w:eastAsia="Times New Roman" w:hAnsi="Times New Roman" w:cs="Times New Roman"/>
                      <w:sz w:val="18"/>
                      <w:szCs w:val="18"/>
                      <w:lang w:eastAsia="tr-TR"/>
                    </w:rPr>
                    <w:t>Gazete’de</w:t>
                  </w:r>
                  <w:proofErr w:type="spellEnd"/>
                  <w:r w:rsidRPr="00927DF9">
                    <w:rPr>
                      <w:rFonts w:ascii="Times New Roman" w:eastAsia="Times New Roman" w:hAnsi="Times New Roman" w:cs="Times New Roman"/>
                      <w:sz w:val="18"/>
                      <w:szCs w:val="18"/>
                      <w:lang w:eastAsia="tr-TR"/>
                    </w:rPr>
                    <w:t xml:space="preserve"> yayımlanan Türk Parası Kıymetini Koruma Hakkında 32 Sayılı Karara İlişkin Tebliğ (İhracat Bedelleri Hakkında) (Tebliğ No: 2018-32/48)’in </w:t>
                  </w:r>
                  <w:proofErr w:type="gramStart"/>
                  <w:r w:rsidRPr="00927DF9">
                    <w:rPr>
                      <w:rFonts w:ascii="Times New Roman" w:eastAsia="Times New Roman" w:hAnsi="Times New Roman" w:cs="Times New Roman"/>
                      <w:sz w:val="18"/>
                      <w:szCs w:val="18"/>
                      <w:lang w:eastAsia="tr-TR"/>
                    </w:rPr>
                    <w:t>3 üncü</w:t>
                  </w:r>
                  <w:proofErr w:type="gramEnd"/>
                  <w:r w:rsidRPr="00927DF9">
                    <w:rPr>
                      <w:rFonts w:ascii="Times New Roman" w:eastAsia="Times New Roman" w:hAnsi="Times New Roman" w:cs="Times New Roman"/>
                      <w:sz w:val="18"/>
                      <w:szCs w:val="18"/>
                      <w:lang w:eastAsia="tr-TR"/>
                    </w:rPr>
                    <w:t xml:space="preserve"> maddesinin birinci ve üçüncü fıkraları aşağıdaki şekilde değiştirilmiş, ikinci fıkrasına aşağıdaki bent eklenmiştir. </w:t>
                  </w:r>
                </w:p>
                <w:p w:rsidR="00927DF9" w:rsidRPr="00927DF9" w:rsidRDefault="00927DF9" w:rsidP="0092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DF9">
                    <w:rPr>
                      <w:rFonts w:ascii="Times New Roman" w:eastAsia="Times New Roman" w:hAnsi="Times New Roman" w:cs="Times New Roman"/>
                      <w:sz w:val="18"/>
                      <w:szCs w:val="18"/>
                      <w:lang w:eastAsia="tr-TR"/>
                    </w:rPr>
                    <w:t>“(1) Türkiye’de yerleşik kişiler tarafından gerçekleştirilen ihracat işlemlerine ilişkin bedeller, ithalatçının ödemesini müteakip doğrudan ve gecikmeksizin ihracata aracılık eden bankaya transfer edilir veya getirilir. Bedellerin yurda getirilme süresi fiili ihraç tarihinden itibaren 180 günü geçemez.”</w:t>
                  </w:r>
                </w:p>
                <w:p w:rsidR="00927DF9" w:rsidRPr="00927DF9" w:rsidRDefault="00927DF9" w:rsidP="0092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DF9">
                    <w:rPr>
                      <w:rFonts w:ascii="Times New Roman" w:eastAsia="Times New Roman" w:hAnsi="Times New Roman" w:cs="Times New Roman"/>
                      <w:sz w:val="18"/>
                      <w:szCs w:val="18"/>
                      <w:lang w:eastAsia="tr-TR"/>
                    </w:rPr>
                    <w:t>“(3) İhracat bedellerinin beyan edilen Türk parası veya döviz üzerinden yurda getirilmesi esastır. Ancak, döviz üzerinden yapılacağı beyan edilen ihracat karşılığında farklı bir döviz cinsinin veya Türk parası üzerinden yapılacağı beyan edilen ihracat karşılığında döviz getirilmesi mümkündür.”</w:t>
                  </w:r>
                </w:p>
                <w:p w:rsidR="00927DF9" w:rsidRPr="00927DF9" w:rsidRDefault="00927DF9" w:rsidP="0092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DF9">
                    <w:rPr>
                      <w:rFonts w:ascii="Times New Roman" w:eastAsia="Times New Roman" w:hAnsi="Times New Roman" w:cs="Times New Roman"/>
                      <w:sz w:val="18"/>
                      <w:szCs w:val="18"/>
                      <w:lang w:eastAsia="tr-TR"/>
                    </w:rPr>
                    <w:t>“</w:t>
                  </w:r>
                  <w:proofErr w:type="gramStart"/>
                  <w:r w:rsidRPr="00927DF9">
                    <w:rPr>
                      <w:rFonts w:ascii="Times New Roman" w:eastAsia="Times New Roman" w:hAnsi="Times New Roman" w:cs="Times New Roman"/>
                      <w:sz w:val="18"/>
                      <w:szCs w:val="18"/>
                      <w:lang w:eastAsia="tr-TR"/>
                    </w:rPr>
                    <w:t>ğ</w:t>
                  </w:r>
                  <w:proofErr w:type="gramEnd"/>
                  <w:r w:rsidRPr="00927DF9">
                    <w:rPr>
                      <w:rFonts w:ascii="Times New Roman" w:eastAsia="Times New Roman" w:hAnsi="Times New Roman" w:cs="Times New Roman"/>
                      <w:sz w:val="18"/>
                      <w:szCs w:val="18"/>
                      <w:lang w:eastAsia="tr-TR"/>
                    </w:rPr>
                    <w:t>) Banka Ödeme Yükümlülüğü (BPO).”</w:t>
                  </w:r>
                </w:p>
                <w:p w:rsidR="00927DF9" w:rsidRPr="00927DF9" w:rsidRDefault="00927DF9" w:rsidP="0092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DF9">
                    <w:rPr>
                      <w:rFonts w:ascii="Times New Roman" w:eastAsia="Times New Roman" w:hAnsi="Times New Roman" w:cs="Times New Roman"/>
                      <w:b/>
                      <w:sz w:val="18"/>
                      <w:szCs w:val="18"/>
                      <w:lang w:eastAsia="tr-TR"/>
                    </w:rPr>
                    <w:t>MADDE 2 –</w:t>
                  </w:r>
                  <w:r w:rsidRPr="00927DF9">
                    <w:rPr>
                      <w:rFonts w:ascii="Times New Roman" w:eastAsia="Times New Roman" w:hAnsi="Times New Roman" w:cs="Times New Roman"/>
                      <w:sz w:val="18"/>
                      <w:szCs w:val="18"/>
                      <w:lang w:eastAsia="tr-TR"/>
                    </w:rPr>
                    <w:t xml:space="preserve"> Aynı Tebliğin 5 inci maddesinin birinci, ikinci ve üçüncü fıkralarında yer alan “getirilerek bir bankaya satılması” ibareleri “getirilmesi” şeklinde </w:t>
                  </w:r>
                  <w:proofErr w:type="gramStart"/>
                  <w:r w:rsidRPr="00927DF9">
                    <w:rPr>
                      <w:rFonts w:ascii="Times New Roman" w:eastAsia="Times New Roman" w:hAnsi="Times New Roman" w:cs="Times New Roman"/>
                      <w:sz w:val="18"/>
                      <w:szCs w:val="18"/>
                      <w:lang w:eastAsia="tr-TR"/>
                    </w:rPr>
                    <w:t>değiştirilmiş,  dördüncü</w:t>
                  </w:r>
                  <w:proofErr w:type="gramEnd"/>
                  <w:r w:rsidRPr="00927DF9">
                    <w:rPr>
                      <w:rFonts w:ascii="Times New Roman" w:eastAsia="Times New Roman" w:hAnsi="Times New Roman" w:cs="Times New Roman"/>
                      <w:sz w:val="18"/>
                      <w:szCs w:val="18"/>
                      <w:lang w:eastAsia="tr-TR"/>
                    </w:rPr>
                    <w:t xml:space="preserve"> fıkrasında yer alan “getirilerek bankalara satılması” ibaresi “getirilmesi” şeklinde değiştirilmiş ve aynı maddeye aşağıdaki fıkra eklenmiştir.</w:t>
                  </w:r>
                </w:p>
                <w:p w:rsidR="00927DF9" w:rsidRPr="00927DF9" w:rsidRDefault="00927DF9" w:rsidP="0092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DF9">
                    <w:rPr>
                      <w:rFonts w:ascii="Times New Roman" w:eastAsia="Times New Roman" w:hAnsi="Times New Roman" w:cs="Times New Roman"/>
                      <w:sz w:val="18"/>
                      <w:szCs w:val="18"/>
                      <w:lang w:eastAsia="tr-TR"/>
                    </w:rPr>
                    <w:t>“(5) İhracat işlemlerine ait sözleşmelerde bedellerin tahsili için fiili ihraç tarihinden itibaren 180 günden fazla vade öngörülmesi durumunda, bedellerin vade bitiminden itibaren 90 gün içinde yurda getirilmesi zorunludur.”</w:t>
                  </w:r>
                </w:p>
                <w:p w:rsidR="00927DF9" w:rsidRPr="00927DF9" w:rsidRDefault="00927DF9" w:rsidP="0092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DF9">
                    <w:rPr>
                      <w:rFonts w:ascii="Times New Roman" w:eastAsia="Times New Roman" w:hAnsi="Times New Roman" w:cs="Times New Roman"/>
                      <w:b/>
                      <w:sz w:val="18"/>
                      <w:szCs w:val="18"/>
                      <w:lang w:eastAsia="tr-TR"/>
                    </w:rPr>
                    <w:t>MADDE 3 –</w:t>
                  </w:r>
                  <w:r w:rsidRPr="00927DF9">
                    <w:rPr>
                      <w:rFonts w:ascii="Times New Roman" w:eastAsia="Times New Roman" w:hAnsi="Times New Roman" w:cs="Times New Roman"/>
                      <w:sz w:val="18"/>
                      <w:szCs w:val="18"/>
                      <w:lang w:eastAsia="tr-TR"/>
                    </w:rPr>
                    <w:t xml:space="preserve"> Aynı Tebliğin </w:t>
                  </w:r>
                  <w:proofErr w:type="gramStart"/>
                  <w:r w:rsidRPr="00927DF9">
                    <w:rPr>
                      <w:rFonts w:ascii="Times New Roman" w:eastAsia="Times New Roman" w:hAnsi="Times New Roman" w:cs="Times New Roman"/>
                      <w:sz w:val="18"/>
                      <w:szCs w:val="18"/>
                      <w:lang w:eastAsia="tr-TR"/>
                    </w:rPr>
                    <w:t xml:space="preserve">6 </w:t>
                  </w:r>
                  <w:proofErr w:type="spellStart"/>
                  <w:r w:rsidRPr="00927DF9">
                    <w:rPr>
                      <w:rFonts w:ascii="Times New Roman" w:eastAsia="Times New Roman" w:hAnsi="Times New Roman" w:cs="Times New Roman"/>
                      <w:sz w:val="18"/>
                      <w:szCs w:val="18"/>
                      <w:lang w:eastAsia="tr-TR"/>
                    </w:rPr>
                    <w:t>ncı</w:t>
                  </w:r>
                  <w:proofErr w:type="spellEnd"/>
                  <w:proofErr w:type="gramEnd"/>
                  <w:r w:rsidRPr="00927DF9">
                    <w:rPr>
                      <w:rFonts w:ascii="Times New Roman" w:eastAsia="Times New Roman" w:hAnsi="Times New Roman" w:cs="Times New Roman"/>
                      <w:sz w:val="18"/>
                      <w:szCs w:val="18"/>
                      <w:lang w:eastAsia="tr-TR"/>
                    </w:rPr>
                    <w:t xml:space="preserve"> maddesinin birinci fıkrasında yer alan “getirilerek, bankalara satılmasından” ibaresi “getirilmesinden” şeklinde değiştirilmiş ve aynı maddenin üçüncü fıkrasında yer alan “ve satışının yapılmasını” ibaresi yürürlükten kaldırılmıştır. </w:t>
                  </w:r>
                </w:p>
                <w:p w:rsidR="00927DF9" w:rsidRPr="00927DF9" w:rsidRDefault="00927DF9" w:rsidP="0092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DF9">
                    <w:rPr>
                      <w:rFonts w:ascii="Times New Roman" w:eastAsia="Times New Roman" w:hAnsi="Times New Roman" w:cs="Times New Roman"/>
                      <w:b/>
                      <w:sz w:val="18"/>
                      <w:szCs w:val="18"/>
                      <w:lang w:eastAsia="tr-TR"/>
                    </w:rPr>
                    <w:t>MADDE 4 –</w:t>
                  </w:r>
                  <w:r w:rsidRPr="00927DF9">
                    <w:rPr>
                      <w:rFonts w:ascii="Times New Roman" w:eastAsia="Times New Roman" w:hAnsi="Times New Roman" w:cs="Times New Roman"/>
                      <w:sz w:val="18"/>
                      <w:szCs w:val="18"/>
                      <w:lang w:eastAsia="tr-TR"/>
                    </w:rPr>
                    <w:t xml:space="preserve"> Aynı Tebliğin </w:t>
                  </w:r>
                  <w:proofErr w:type="gramStart"/>
                  <w:r w:rsidRPr="00927DF9">
                    <w:rPr>
                      <w:rFonts w:ascii="Times New Roman" w:eastAsia="Times New Roman" w:hAnsi="Times New Roman" w:cs="Times New Roman"/>
                      <w:sz w:val="18"/>
                      <w:szCs w:val="18"/>
                      <w:lang w:eastAsia="tr-TR"/>
                    </w:rPr>
                    <w:t xml:space="preserve">7 </w:t>
                  </w:r>
                  <w:proofErr w:type="spellStart"/>
                  <w:r w:rsidRPr="00927DF9">
                    <w:rPr>
                      <w:rFonts w:ascii="Times New Roman" w:eastAsia="Times New Roman" w:hAnsi="Times New Roman" w:cs="Times New Roman"/>
                      <w:sz w:val="18"/>
                      <w:szCs w:val="18"/>
                      <w:lang w:eastAsia="tr-TR"/>
                    </w:rPr>
                    <w:t>nci</w:t>
                  </w:r>
                  <w:proofErr w:type="spellEnd"/>
                  <w:proofErr w:type="gramEnd"/>
                  <w:r w:rsidRPr="00927DF9">
                    <w:rPr>
                      <w:rFonts w:ascii="Times New Roman" w:eastAsia="Times New Roman" w:hAnsi="Times New Roman" w:cs="Times New Roman"/>
                      <w:sz w:val="18"/>
                      <w:szCs w:val="18"/>
                      <w:lang w:eastAsia="tr-TR"/>
                    </w:rPr>
                    <w:t xml:space="preserve"> maddesinin birinci ve ikinci fıkralarında yer alan “veya görünmeyen işlemlere ilişkin hükümler çerçevesinde döviz transferi talepleri” ibareleri ve üçüncü fıkrası yürürlükten kaldırılmış, dördüncü fıkrası aşağıdaki şekilde değiştirilmiş ve beşinci fıkrada yer alan “Üçüncü ve” ibaresi ile aynı fıkranın son cümlesi yürürlükten kaldırılmıştır.</w:t>
                  </w:r>
                </w:p>
                <w:p w:rsidR="00927DF9" w:rsidRPr="00927DF9" w:rsidRDefault="00927DF9" w:rsidP="0092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DF9">
                    <w:rPr>
                      <w:rFonts w:ascii="Times New Roman" w:eastAsia="Times New Roman" w:hAnsi="Times New Roman" w:cs="Times New Roman"/>
                      <w:sz w:val="18"/>
                      <w:szCs w:val="18"/>
                      <w:lang w:eastAsia="tr-TR"/>
                    </w:rPr>
                    <w:t>“(4) Dış ticaret mevzuatı hükümleri çerçevesinde gerçekleştirilen mal ihraç ve ithalinde, tarafların aynı kişiler olması ve ihraç bedellerinin yurda getirilme süresi içinde kalınması kaydıyla, mal ihraç ve ithal bedellerinin bankalarca mahsubuna ilişkin esaslar Hazine ve Maliye Bakanlığınca belirlenir.”</w:t>
                  </w:r>
                </w:p>
                <w:p w:rsidR="00927DF9" w:rsidRPr="00927DF9" w:rsidRDefault="00927DF9" w:rsidP="0092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DF9">
                    <w:rPr>
                      <w:rFonts w:ascii="Times New Roman" w:eastAsia="Times New Roman" w:hAnsi="Times New Roman" w:cs="Times New Roman"/>
                      <w:b/>
                      <w:sz w:val="18"/>
                      <w:szCs w:val="18"/>
                      <w:lang w:eastAsia="tr-TR"/>
                    </w:rPr>
                    <w:t>MADDE 5 –</w:t>
                  </w:r>
                  <w:r w:rsidRPr="00927DF9">
                    <w:rPr>
                      <w:rFonts w:ascii="Times New Roman" w:eastAsia="Times New Roman" w:hAnsi="Times New Roman" w:cs="Times New Roman"/>
                      <w:sz w:val="18"/>
                      <w:szCs w:val="18"/>
                      <w:lang w:eastAsia="tr-TR"/>
                    </w:rPr>
                    <w:t xml:space="preserve"> Aynı Tebliğin 8 inci maddesine birinci fıkradan sonra gelmek üzere aşağıdaki fıkra eklenmiş, mevcut fıkralar buna göre teselsül ettirilmiş ve aynı maddeye aşağıdaki fıkra eklenmiştir.</w:t>
                  </w:r>
                </w:p>
                <w:p w:rsidR="00927DF9" w:rsidRPr="00927DF9" w:rsidRDefault="00927DF9" w:rsidP="0092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DF9">
                    <w:rPr>
                      <w:rFonts w:ascii="Times New Roman" w:eastAsia="Times New Roman" w:hAnsi="Times New Roman" w:cs="Times New Roman"/>
                      <w:sz w:val="18"/>
                      <w:szCs w:val="18"/>
                      <w:lang w:eastAsia="tr-TR"/>
                    </w:rPr>
                    <w:t>“(2) Bankalarca söz konusu bedellerin yurda getirildiğine dair EK-1’de yer alan İhracat Bedeli Kabul Belgesi düzenlenir.”</w:t>
                  </w:r>
                </w:p>
                <w:p w:rsidR="00927DF9" w:rsidRPr="00927DF9" w:rsidRDefault="00927DF9" w:rsidP="0092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DF9">
                    <w:rPr>
                      <w:rFonts w:ascii="Times New Roman" w:eastAsia="Times New Roman" w:hAnsi="Times New Roman" w:cs="Times New Roman"/>
                      <w:sz w:val="18"/>
                      <w:szCs w:val="18"/>
                      <w:lang w:eastAsia="tr-TR"/>
                    </w:rPr>
                    <w:t>“(7) Mücbir sebeplerin varlığı nedeniyle Vergi Dairesi Başkanlığınca veya Vergi Dairesi Müdürlüğünce verilen 24 aylık ek sürenin sonunda mücbir sebebin devamının belgelenmesi halinde açık ihracat hesabının kapatılmasına ilişkin talepler Hazine ve Maliye Bakanlığı tarafından incelenip sonuçlandırılır.”</w:t>
                  </w:r>
                </w:p>
                <w:p w:rsidR="00927DF9" w:rsidRPr="00927DF9" w:rsidRDefault="00927DF9" w:rsidP="0092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DF9">
                    <w:rPr>
                      <w:rFonts w:ascii="Times New Roman" w:eastAsia="Times New Roman" w:hAnsi="Times New Roman" w:cs="Times New Roman"/>
                      <w:b/>
                      <w:sz w:val="18"/>
                      <w:szCs w:val="18"/>
                      <w:lang w:eastAsia="tr-TR"/>
                    </w:rPr>
                    <w:t>MADDE 6 –</w:t>
                  </w:r>
                  <w:r w:rsidRPr="00927DF9">
                    <w:rPr>
                      <w:rFonts w:ascii="Times New Roman" w:eastAsia="Times New Roman" w:hAnsi="Times New Roman" w:cs="Times New Roman"/>
                      <w:sz w:val="18"/>
                      <w:szCs w:val="18"/>
                      <w:lang w:eastAsia="tr-TR"/>
                    </w:rPr>
                    <w:t xml:space="preserve"> Aynı Tebliğin 9 uncu maddesinin başlığı “Mücbir sebep ve haklı durum halleri” şeklinde değiştirilmiş ve aynı maddeye aşağıdaki fıkra eklenmiştir.</w:t>
                  </w:r>
                </w:p>
                <w:p w:rsidR="00927DF9" w:rsidRPr="00927DF9" w:rsidRDefault="00927DF9" w:rsidP="0092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DF9">
                    <w:rPr>
                      <w:rFonts w:ascii="Times New Roman" w:eastAsia="Times New Roman" w:hAnsi="Times New Roman" w:cs="Times New Roman"/>
                      <w:sz w:val="18"/>
                      <w:szCs w:val="18"/>
                      <w:lang w:eastAsia="tr-TR"/>
                    </w:rPr>
                    <w:t>“(3) Mücbir sebep halleri dışında kalan, ancak bedel getirme süreleri içerisinde ihracat bedelinin yurda getirilmesine engel olan ve resmi kayıtlarla tevsik edilebilen durumlar Vergi Dairesi Başkanlıkları veya Vergi Dairesi Müdürlüklerince haklı durum olarak değerlendirilebilir.”</w:t>
                  </w:r>
                </w:p>
                <w:p w:rsidR="00927DF9" w:rsidRPr="00927DF9" w:rsidRDefault="00927DF9" w:rsidP="0092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DF9">
                    <w:rPr>
                      <w:rFonts w:ascii="Times New Roman" w:eastAsia="Times New Roman" w:hAnsi="Times New Roman" w:cs="Times New Roman"/>
                      <w:b/>
                      <w:sz w:val="18"/>
                      <w:szCs w:val="18"/>
                      <w:lang w:eastAsia="tr-TR"/>
                    </w:rPr>
                    <w:t>MADDE 7 –</w:t>
                  </w:r>
                  <w:r w:rsidRPr="00927DF9">
                    <w:rPr>
                      <w:rFonts w:ascii="Times New Roman" w:eastAsia="Times New Roman" w:hAnsi="Times New Roman" w:cs="Times New Roman"/>
                      <w:sz w:val="18"/>
                      <w:szCs w:val="18"/>
                      <w:lang w:eastAsia="tr-TR"/>
                    </w:rPr>
                    <w:t xml:space="preserve"> Aynı Tebliğin 10 uncu maddesinin birinci fıkrası aşağıdaki şekilde değiştirilmiş ve aynı maddeye aşağıdaki fıkra eklenmiştir.</w:t>
                  </w:r>
                </w:p>
                <w:p w:rsidR="00927DF9" w:rsidRPr="00927DF9" w:rsidRDefault="00927DF9" w:rsidP="0092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DF9">
                    <w:rPr>
                      <w:rFonts w:ascii="Times New Roman" w:eastAsia="Times New Roman" w:hAnsi="Times New Roman" w:cs="Times New Roman"/>
                      <w:sz w:val="18"/>
                      <w:szCs w:val="18"/>
                      <w:lang w:eastAsia="tr-TR"/>
                    </w:rPr>
                    <w:t>“(1) Her bir gümrük beyannamesi itibarıyla;</w:t>
                  </w:r>
                </w:p>
                <w:p w:rsidR="00927DF9" w:rsidRPr="00927DF9" w:rsidRDefault="00927DF9" w:rsidP="0092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DF9">
                    <w:rPr>
                      <w:rFonts w:ascii="Times New Roman" w:eastAsia="Times New Roman" w:hAnsi="Times New Roman" w:cs="Times New Roman"/>
                      <w:sz w:val="18"/>
                      <w:szCs w:val="18"/>
                      <w:lang w:eastAsia="tr-TR"/>
                    </w:rPr>
                    <w:t xml:space="preserve">a) 30.000 ABD dolarına kadar noksanlığı olan ihracat hesapları doğrudan bankalarca ödeme şekline ve toplam beyanname tutarına olan oranına bakılmaksızın, </w:t>
                  </w:r>
                </w:p>
                <w:p w:rsidR="00927DF9" w:rsidRPr="00927DF9" w:rsidRDefault="00927DF9" w:rsidP="0092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DF9">
                    <w:rPr>
                      <w:rFonts w:ascii="Times New Roman" w:eastAsia="Times New Roman" w:hAnsi="Times New Roman" w:cs="Times New Roman"/>
                      <w:sz w:val="18"/>
                      <w:szCs w:val="18"/>
                      <w:lang w:eastAsia="tr-TR"/>
                    </w:rPr>
                    <w:t xml:space="preserve">b) 30.000 ABD dolarından yüksek olmakla birlikte 100.000 ABD doları veya eşitini aşmayan, beyanname veya formda yer alan bedelin %10’una kadar noksanlığı olan (sigorta bedellerinden kaynaklanan noksanlıklar dahil) ihracat hesapları doğrudan bankalarca ödeme şekline bakılmaksızın, </w:t>
                  </w:r>
                </w:p>
                <w:p w:rsidR="00927DF9" w:rsidRPr="00927DF9" w:rsidRDefault="00927DF9" w:rsidP="0092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DF9">
                    <w:rPr>
                      <w:rFonts w:ascii="Times New Roman" w:eastAsia="Times New Roman" w:hAnsi="Times New Roman" w:cs="Times New Roman"/>
                      <w:sz w:val="18"/>
                      <w:szCs w:val="18"/>
                      <w:lang w:eastAsia="tr-TR"/>
                    </w:rPr>
                    <w:t xml:space="preserve">c) 200.000 ABD doları veya eşitini aşmamak üzere, 9 uncu maddede belirtilen mücbir sebep ve haklı durum halleri göz önünde bulundurulmak suretiyle beyanname veya formda yer alan bedelin </w:t>
                  </w:r>
                  <w:proofErr w:type="gramStart"/>
                  <w:r w:rsidRPr="00927DF9">
                    <w:rPr>
                      <w:rFonts w:ascii="Times New Roman" w:eastAsia="Times New Roman" w:hAnsi="Times New Roman" w:cs="Times New Roman"/>
                      <w:sz w:val="18"/>
                      <w:szCs w:val="18"/>
                      <w:lang w:eastAsia="tr-TR"/>
                    </w:rPr>
                    <w:t>% 10</w:t>
                  </w:r>
                  <w:proofErr w:type="gramEnd"/>
                  <w:r w:rsidRPr="00927DF9">
                    <w:rPr>
                      <w:rFonts w:ascii="Times New Roman" w:eastAsia="Times New Roman" w:hAnsi="Times New Roman" w:cs="Times New Roman"/>
                      <w:sz w:val="18"/>
                      <w:szCs w:val="18"/>
                      <w:lang w:eastAsia="tr-TR"/>
                    </w:rPr>
                    <w:t>’una kadar açık hesaplar ilgili Vergi Dairesi Başkanlığınca veya Vergi Dairesi Müdürlüğünce,</w:t>
                  </w:r>
                </w:p>
                <w:p w:rsidR="00927DF9" w:rsidRPr="00927DF9" w:rsidRDefault="00927DF9" w:rsidP="00927DF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927DF9">
                    <w:rPr>
                      <w:rFonts w:ascii="Times New Roman" w:eastAsia="Times New Roman" w:hAnsi="Times New Roman" w:cs="Times New Roman"/>
                      <w:sz w:val="18"/>
                      <w:szCs w:val="18"/>
                      <w:lang w:eastAsia="tr-TR"/>
                    </w:rPr>
                    <w:t>terkin</w:t>
                  </w:r>
                  <w:proofErr w:type="gramEnd"/>
                  <w:r w:rsidRPr="00927DF9">
                    <w:rPr>
                      <w:rFonts w:ascii="Times New Roman" w:eastAsia="Times New Roman" w:hAnsi="Times New Roman" w:cs="Times New Roman"/>
                      <w:sz w:val="18"/>
                      <w:szCs w:val="18"/>
                      <w:lang w:eastAsia="tr-TR"/>
                    </w:rPr>
                    <w:t xml:space="preserve"> edilmek suretiyle kapatılır.”</w:t>
                  </w:r>
                </w:p>
                <w:p w:rsidR="00927DF9" w:rsidRPr="00927DF9" w:rsidRDefault="00927DF9" w:rsidP="0092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DF9">
                    <w:rPr>
                      <w:rFonts w:ascii="Times New Roman" w:eastAsia="Times New Roman" w:hAnsi="Times New Roman" w:cs="Times New Roman"/>
                      <w:sz w:val="18"/>
                      <w:szCs w:val="18"/>
                      <w:lang w:eastAsia="tr-TR"/>
                    </w:rPr>
                    <w:t>“(3) Birinci fıkra kapsamında bankalarca yapılabilecek terkin işlemleri 8 inci maddenin dördüncü fıkrasında belirtilen 90 günlük ihtarname süresi içerisinde ilgili Vergi Dairesi Başkanlıkları veya Vergi Dairesi Müdürlüklerince gerçekleştirilir.”</w:t>
                  </w:r>
                </w:p>
                <w:p w:rsidR="00927DF9" w:rsidRPr="00927DF9" w:rsidRDefault="00927DF9" w:rsidP="0092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DF9">
                    <w:rPr>
                      <w:rFonts w:ascii="Times New Roman" w:eastAsia="Times New Roman" w:hAnsi="Times New Roman" w:cs="Times New Roman"/>
                      <w:b/>
                      <w:sz w:val="18"/>
                      <w:szCs w:val="18"/>
                      <w:lang w:eastAsia="tr-TR"/>
                    </w:rPr>
                    <w:t>MADDE 8 –</w:t>
                  </w:r>
                  <w:r w:rsidRPr="00927DF9">
                    <w:rPr>
                      <w:rFonts w:ascii="Times New Roman" w:eastAsia="Times New Roman" w:hAnsi="Times New Roman" w:cs="Times New Roman"/>
                      <w:sz w:val="18"/>
                      <w:szCs w:val="18"/>
                      <w:lang w:eastAsia="tr-TR"/>
                    </w:rPr>
                    <w:t xml:space="preserve"> Aynı Tebliğin </w:t>
                  </w:r>
                  <w:proofErr w:type="gramStart"/>
                  <w:r w:rsidRPr="00927DF9">
                    <w:rPr>
                      <w:rFonts w:ascii="Times New Roman" w:eastAsia="Times New Roman" w:hAnsi="Times New Roman" w:cs="Times New Roman"/>
                      <w:sz w:val="18"/>
                      <w:szCs w:val="18"/>
                      <w:lang w:eastAsia="tr-TR"/>
                    </w:rPr>
                    <w:t xml:space="preserve">12 </w:t>
                  </w:r>
                  <w:proofErr w:type="spellStart"/>
                  <w:r w:rsidRPr="00927DF9">
                    <w:rPr>
                      <w:rFonts w:ascii="Times New Roman" w:eastAsia="Times New Roman" w:hAnsi="Times New Roman" w:cs="Times New Roman"/>
                      <w:sz w:val="18"/>
                      <w:szCs w:val="18"/>
                      <w:lang w:eastAsia="tr-TR"/>
                    </w:rPr>
                    <w:t>nci</w:t>
                  </w:r>
                  <w:proofErr w:type="spellEnd"/>
                  <w:proofErr w:type="gramEnd"/>
                  <w:r w:rsidRPr="00927DF9">
                    <w:rPr>
                      <w:rFonts w:ascii="Times New Roman" w:eastAsia="Times New Roman" w:hAnsi="Times New Roman" w:cs="Times New Roman"/>
                      <w:sz w:val="18"/>
                      <w:szCs w:val="18"/>
                      <w:lang w:eastAsia="tr-TR"/>
                    </w:rPr>
                    <w:t xml:space="preserve"> maddesinin ikinci fıkrası yürürlükten kaldırılmıştır.</w:t>
                  </w:r>
                </w:p>
                <w:p w:rsidR="00927DF9" w:rsidRPr="00927DF9" w:rsidRDefault="00927DF9" w:rsidP="0092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DF9">
                    <w:rPr>
                      <w:rFonts w:ascii="Times New Roman" w:eastAsia="Times New Roman" w:hAnsi="Times New Roman" w:cs="Times New Roman"/>
                      <w:b/>
                      <w:sz w:val="18"/>
                      <w:szCs w:val="18"/>
                      <w:lang w:eastAsia="tr-TR"/>
                    </w:rPr>
                    <w:t>MADDE 9 –</w:t>
                  </w:r>
                  <w:r w:rsidRPr="00927DF9">
                    <w:rPr>
                      <w:rFonts w:ascii="Times New Roman" w:eastAsia="Times New Roman" w:hAnsi="Times New Roman" w:cs="Times New Roman"/>
                      <w:sz w:val="18"/>
                      <w:szCs w:val="18"/>
                      <w:lang w:eastAsia="tr-TR"/>
                    </w:rPr>
                    <w:t xml:space="preserve"> Aynı Tebliğe </w:t>
                  </w:r>
                  <w:proofErr w:type="gramStart"/>
                  <w:r w:rsidRPr="00927DF9">
                    <w:rPr>
                      <w:rFonts w:ascii="Times New Roman" w:eastAsia="Times New Roman" w:hAnsi="Times New Roman" w:cs="Times New Roman"/>
                      <w:sz w:val="18"/>
                      <w:szCs w:val="18"/>
                      <w:lang w:eastAsia="tr-TR"/>
                    </w:rPr>
                    <w:t xml:space="preserve">12 </w:t>
                  </w:r>
                  <w:proofErr w:type="spellStart"/>
                  <w:r w:rsidRPr="00927DF9">
                    <w:rPr>
                      <w:rFonts w:ascii="Times New Roman" w:eastAsia="Times New Roman" w:hAnsi="Times New Roman" w:cs="Times New Roman"/>
                      <w:sz w:val="18"/>
                      <w:szCs w:val="18"/>
                      <w:lang w:eastAsia="tr-TR"/>
                    </w:rPr>
                    <w:t>nci</w:t>
                  </w:r>
                  <w:proofErr w:type="spellEnd"/>
                  <w:proofErr w:type="gramEnd"/>
                  <w:r w:rsidRPr="00927DF9">
                    <w:rPr>
                      <w:rFonts w:ascii="Times New Roman" w:eastAsia="Times New Roman" w:hAnsi="Times New Roman" w:cs="Times New Roman"/>
                      <w:sz w:val="18"/>
                      <w:szCs w:val="18"/>
                      <w:lang w:eastAsia="tr-TR"/>
                    </w:rPr>
                    <w:t xml:space="preserve"> maddeden sonra gelmek üzere aşağıdaki geçici madde eklenmiştir.</w:t>
                  </w:r>
                </w:p>
                <w:p w:rsidR="00927DF9" w:rsidRPr="00927DF9" w:rsidRDefault="00927DF9" w:rsidP="00927DF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27DF9">
                    <w:rPr>
                      <w:rFonts w:ascii="Times New Roman" w:eastAsia="Times New Roman" w:hAnsi="Times New Roman" w:cs="Times New Roman"/>
                      <w:b/>
                      <w:sz w:val="18"/>
                      <w:szCs w:val="18"/>
                      <w:lang w:eastAsia="tr-TR"/>
                    </w:rPr>
                    <w:t>“Geçiş hükümleri</w:t>
                  </w:r>
                </w:p>
                <w:p w:rsidR="00927DF9" w:rsidRPr="00927DF9" w:rsidRDefault="00927DF9" w:rsidP="0092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DF9">
                    <w:rPr>
                      <w:rFonts w:ascii="Times New Roman" w:eastAsia="Times New Roman" w:hAnsi="Times New Roman" w:cs="Times New Roman"/>
                      <w:b/>
                      <w:sz w:val="18"/>
                      <w:szCs w:val="18"/>
                      <w:lang w:eastAsia="tr-TR"/>
                    </w:rPr>
                    <w:t xml:space="preserve">GEÇİCİ MADDE 1 – </w:t>
                  </w:r>
                  <w:r w:rsidRPr="00927DF9">
                    <w:rPr>
                      <w:rFonts w:ascii="Times New Roman" w:eastAsia="Times New Roman" w:hAnsi="Times New Roman" w:cs="Times New Roman"/>
                      <w:sz w:val="18"/>
                      <w:szCs w:val="18"/>
                      <w:lang w:eastAsia="tr-TR"/>
                    </w:rPr>
                    <w:t xml:space="preserve">(1) Bu maddenin yürürlüğe girdiği tarihte açık bulunan ihracat hesapları için, bu Tebliğin ihracatçı lehine olan hükümleri uygulanır. </w:t>
                  </w:r>
                </w:p>
                <w:p w:rsidR="00927DF9" w:rsidRPr="00927DF9" w:rsidRDefault="00927DF9" w:rsidP="0092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DF9">
                    <w:rPr>
                      <w:rFonts w:ascii="Times New Roman" w:eastAsia="Times New Roman" w:hAnsi="Times New Roman" w:cs="Times New Roman"/>
                      <w:sz w:val="18"/>
                      <w:szCs w:val="18"/>
                      <w:lang w:eastAsia="tr-TR"/>
                    </w:rPr>
                    <w:lastRenderedPageBreak/>
                    <w:t xml:space="preserve">(2) İhracat bedellerinin takip edileceği bilgi sistemi Hazine ve Maliye Bakanlığınca uygulamaya alınana kadar 8 inci maddenin ikinci fıkrasında yer alan İhracat Bedeli Kabul Belgesi yerine bankalarca Döviz Alım Belgesinin kullanılması mümkündür.”  </w:t>
                  </w:r>
                </w:p>
                <w:p w:rsidR="00927DF9" w:rsidRPr="00927DF9" w:rsidRDefault="00927DF9" w:rsidP="0092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DF9">
                    <w:rPr>
                      <w:rFonts w:ascii="Times New Roman" w:eastAsia="Times New Roman" w:hAnsi="Times New Roman" w:cs="Times New Roman"/>
                      <w:b/>
                      <w:sz w:val="18"/>
                      <w:szCs w:val="18"/>
                      <w:lang w:eastAsia="tr-TR"/>
                    </w:rPr>
                    <w:t>MADDE 10 –</w:t>
                  </w:r>
                  <w:r w:rsidRPr="00927DF9">
                    <w:rPr>
                      <w:rFonts w:ascii="Times New Roman" w:eastAsia="Times New Roman" w:hAnsi="Times New Roman" w:cs="Times New Roman"/>
                      <w:sz w:val="18"/>
                      <w:szCs w:val="18"/>
                      <w:lang w:eastAsia="tr-TR"/>
                    </w:rPr>
                    <w:t xml:space="preserve"> Aynı Tebliğin </w:t>
                  </w:r>
                  <w:proofErr w:type="gramStart"/>
                  <w:r w:rsidRPr="00927DF9">
                    <w:rPr>
                      <w:rFonts w:ascii="Times New Roman" w:eastAsia="Times New Roman" w:hAnsi="Times New Roman" w:cs="Times New Roman"/>
                      <w:sz w:val="18"/>
                      <w:szCs w:val="18"/>
                      <w:lang w:eastAsia="tr-TR"/>
                    </w:rPr>
                    <w:t>13 üncü</w:t>
                  </w:r>
                  <w:proofErr w:type="gramEnd"/>
                  <w:r w:rsidRPr="00927DF9">
                    <w:rPr>
                      <w:rFonts w:ascii="Times New Roman" w:eastAsia="Times New Roman" w:hAnsi="Times New Roman" w:cs="Times New Roman"/>
                      <w:sz w:val="18"/>
                      <w:szCs w:val="18"/>
                      <w:lang w:eastAsia="tr-TR"/>
                    </w:rPr>
                    <w:t xml:space="preserve"> maddesinin ikinci fıkrası yürürlükten kaldırılmıştır.</w:t>
                  </w:r>
                </w:p>
                <w:p w:rsidR="00927DF9" w:rsidRPr="00927DF9" w:rsidRDefault="00927DF9" w:rsidP="0092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DF9">
                    <w:rPr>
                      <w:rFonts w:ascii="Times New Roman" w:eastAsia="Times New Roman" w:hAnsi="Times New Roman" w:cs="Times New Roman"/>
                      <w:b/>
                      <w:sz w:val="18"/>
                      <w:szCs w:val="18"/>
                      <w:lang w:eastAsia="tr-TR"/>
                    </w:rPr>
                    <w:t>MADDE 11 –</w:t>
                  </w:r>
                  <w:r w:rsidRPr="00927DF9">
                    <w:rPr>
                      <w:rFonts w:ascii="Times New Roman" w:eastAsia="Times New Roman" w:hAnsi="Times New Roman" w:cs="Times New Roman"/>
                      <w:sz w:val="18"/>
                      <w:szCs w:val="18"/>
                      <w:lang w:eastAsia="tr-TR"/>
                    </w:rPr>
                    <w:t xml:space="preserve"> Aynı Tebliğe ekte yer alan EK-1 eklenmiştir.</w:t>
                  </w:r>
                </w:p>
                <w:p w:rsidR="00927DF9" w:rsidRPr="00927DF9" w:rsidRDefault="00927DF9" w:rsidP="0092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DF9">
                    <w:rPr>
                      <w:rFonts w:ascii="Times New Roman" w:eastAsia="Times New Roman" w:hAnsi="Times New Roman" w:cs="Times New Roman"/>
                      <w:b/>
                      <w:sz w:val="18"/>
                      <w:szCs w:val="18"/>
                      <w:lang w:eastAsia="tr-TR"/>
                    </w:rPr>
                    <w:t>MADDE 12 –</w:t>
                  </w:r>
                  <w:r w:rsidRPr="00927DF9">
                    <w:rPr>
                      <w:rFonts w:ascii="Times New Roman" w:eastAsia="Times New Roman" w:hAnsi="Times New Roman" w:cs="Times New Roman"/>
                      <w:sz w:val="18"/>
                      <w:szCs w:val="18"/>
                      <w:lang w:eastAsia="tr-TR"/>
                    </w:rPr>
                    <w:t xml:space="preserve"> Bu Tebliğ yayımı tarihinde yürürlüğe girer.</w:t>
                  </w:r>
                </w:p>
                <w:p w:rsidR="00927DF9" w:rsidRPr="00927DF9" w:rsidRDefault="00927DF9" w:rsidP="00927DF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27DF9">
                    <w:rPr>
                      <w:rFonts w:ascii="Times New Roman" w:eastAsia="Times New Roman" w:hAnsi="Times New Roman" w:cs="Times New Roman"/>
                      <w:b/>
                      <w:sz w:val="18"/>
                      <w:szCs w:val="18"/>
                      <w:lang w:eastAsia="tr-TR"/>
                    </w:rPr>
                    <w:t>MADDE 13 –</w:t>
                  </w:r>
                  <w:r w:rsidRPr="00927DF9">
                    <w:rPr>
                      <w:rFonts w:ascii="Times New Roman" w:eastAsia="Times New Roman" w:hAnsi="Times New Roman" w:cs="Times New Roman"/>
                      <w:sz w:val="18"/>
                      <w:szCs w:val="18"/>
                      <w:lang w:eastAsia="tr-TR"/>
                    </w:rPr>
                    <w:t xml:space="preserve"> Bu Tebliğ hükümlerini Hazine ve Maliye Bakanı yürütür.</w:t>
                  </w:r>
                </w:p>
                <w:p w:rsidR="00927DF9" w:rsidRPr="00927DF9" w:rsidRDefault="00927DF9" w:rsidP="00927DF9">
                  <w:pPr>
                    <w:spacing w:after="0" w:line="240" w:lineRule="exact"/>
                    <w:jc w:val="center"/>
                    <w:rPr>
                      <w:rFonts w:ascii="Times New Roman" w:eastAsia="Times New Roman" w:hAnsi="Times New Roman" w:cs="Times New Roman"/>
                      <w:sz w:val="18"/>
                      <w:szCs w:val="18"/>
                      <w:lang w:eastAsia="tr-TR"/>
                    </w:rPr>
                  </w:pPr>
                </w:p>
                <w:tbl>
                  <w:tblPr>
                    <w:tblStyle w:val="TabloKlavuzu"/>
                    <w:tblW w:w="8505" w:type="dxa"/>
                    <w:jc w:val="center"/>
                    <w:tblInd w:w="0" w:type="dxa"/>
                    <w:tblLook w:val="01E0" w:firstRow="1" w:lastRow="1" w:firstColumn="1" w:lastColumn="1" w:noHBand="0" w:noVBand="0"/>
                  </w:tblPr>
                  <w:tblGrid>
                    <w:gridCol w:w="437"/>
                    <w:gridCol w:w="3817"/>
                    <w:gridCol w:w="4251"/>
                  </w:tblGrid>
                  <w:tr w:rsidR="00927DF9" w:rsidRPr="00927DF9">
                    <w:trPr>
                      <w:jc w:val="center"/>
                    </w:trPr>
                    <w:tc>
                      <w:tcPr>
                        <w:tcW w:w="8505" w:type="dxa"/>
                        <w:gridSpan w:val="3"/>
                        <w:tcBorders>
                          <w:top w:val="single" w:sz="4" w:space="0" w:color="auto"/>
                          <w:left w:val="single" w:sz="4" w:space="0" w:color="auto"/>
                          <w:bottom w:val="nil"/>
                          <w:right w:val="single" w:sz="4" w:space="0" w:color="auto"/>
                        </w:tcBorders>
                        <w:hideMark/>
                      </w:tcPr>
                      <w:p w:rsidR="00927DF9" w:rsidRPr="00927DF9" w:rsidRDefault="00927DF9" w:rsidP="00927DF9">
                        <w:pPr>
                          <w:tabs>
                            <w:tab w:val="left" w:pos="566"/>
                          </w:tabs>
                          <w:spacing w:line="240" w:lineRule="exact"/>
                          <w:jc w:val="center"/>
                          <w:rPr>
                            <w:b/>
                            <w:sz w:val="18"/>
                            <w:szCs w:val="18"/>
                          </w:rPr>
                        </w:pPr>
                        <w:r w:rsidRPr="00927DF9">
                          <w:rPr>
                            <w:b/>
                            <w:sz w:val="18"/>
                            <w:szCs w:val="18"/>
                          </w:rPr>
                          <w:t>Tebliğin Yayımlandığı Resmî Gazete'nin</w:t>
                        </w:r>
                      </w:p>
                    </w:tc>
                  </w:tr>
                  <w:tr w:rsidR="00927DF9" w:rsidRPr="00927DF9">
                    <w:trPr>
                      <w:jc w:val="center"/>
                    </w:trPr>
                    <w:tc>
                      <w:tcPr>
                        <w:tcW w:w="4254" w:type="dxa"/>
                        <w:gridSpan w:val="2"/>
                        <w:tcBorders>
                          <w:top w:val="nil"/>
                          <w:left w:val="single" w:sz="4" w:space="0" w:color="auto"/>
                          <w:bottom w:val="single" w:sz="4" w:space="0" w:color="auto"/>
                          <w:right w:val="nil"/>
                        </w:tcBorders>
                        <w:hideMark/>
                      </w:tcPr>
                      <w:p w:rsidR="00927DF9" w:rsidRPr="00927DF9" w:rsidRDefault="00927DF9" w:rsidP="00927DF9">
                        <w:pPr>
                          <w:tabs>
                            <w:tab w:val="left" w:pos="566"/>
                          </w:tabs>
                          <w:spacing w:line="240" w:lineRule="exact"/>
                          <w:jc w:val="center"/>
                          <w:rPr>
                            <w:b/>
                            <w:sz w:val="18"/>
                            <w:szCs w:val="18"/>
                          </w:rPr>
                        </w:pPr>
                        <w:r w:rsidRPr="00927DF9">
                          <w:rPr>
                            <w:b/>
                            <w:sz w:val="18"/>
                            <w:szCs w:val="18"/>
                          </w:rPr>
                          <w:t>Tarihi</w:t>
                        </w:r>
                      </w:p>
                    </w:tc>
                    <w:tc>
                      <w:tcPr>
                        <w:tcW w:w="4251" w:type="dxa"/>
                        <w:tcBorders>
                          <w:top w:val="nil"/>
                          <w:left w:val="nil"/>
                          <w:bottom w:val="single" w:sz="4" w:space="0" w:color="auto"/>
                          <w:right w:val="single" w:sz="4" w:space="0" w:color="auto"/>
                        </w:tcBorders>
                        <w:hideMark/>
                      </w:tcPr>
                      <w:p w:rsidR="00927DF9" w:rsidRPr="00927DF9" w:rsidRDefault="00927DF9" w:rsidP="00927DF9">
                        <w:pPr>
                          <w:tabs>
                            <w:tab w:val="left" w:pos="566"/>
                          </w:tabs>
                          <w:spacing w:line="240" w:lineRule="exact"/>
                          <w:jc w:val="center"/>
                          <w:rPr>
                            <w:b/>
                            <w:sz w:val="18"/>
                            <w:szCs w:val="18"/>
                          </w:rPr>
                        </w:pPr>
                        <w:r w:rsidRPr="00927DF9">
                          <w:rPr>
                            <w:b/>
                            <w:sz w:val="18"/>
                            <w:szCs w:val="18"/>
                          </w:rPr>
                          <w:t>Sayısı</w:t>
                        </w:r>
                      </w:p>
                    </w:tc>
                  </w:tr>
                  <w:tr w:rsidR="00927DF9" w:rsidRPr="00927DF9">
                    <w:trPr>
                      <w:jc w:val="center"/>
                    </w:trPr>
                    <w:tc>
                      <w:tcPr>
                        <w:tcW w:w="4254" w:type="dxa"/>
                        <w:gridSpan w:val="2"/>
                        <w:tcBorders>
                          <w:top w:val="single" w:sz="4" w:space="0" w:color="auto"/>
                          <w:left w:val="single" w:sz="4" w:space="0" w:color="auto"/>
                          <w:bottom w:val="single" w:sz="4" w:space="0" w:color="auto"/>
                          <w:right w:val="single" w:sz="4" w:space="0" w:color="auto"/>
                        </w:tcBorders>
                        <w:hideMark/>
                      </w:tcPr>
                      <w:p w:rsidR="00927DF9" w:rsidRPr="00927DF9" w:rsidRDefault="00927DF9" w:rsidP="00927DF9">
                        <w:pPr>
                          <w:tabs>
                            <w:tab w:val="left" w:pos="566"/>
                          </w:tabs>
                          <w:spacing w:line="240" w:lineRule="exact"/>
                          <w:jc w:val="center"/>
                          <w:rPr>
                            <w:sz w:val="18"/>
                            <w:szCs w:val="18"/>
                          </w:rPr>
                        </w:pPr>
                        <w:r w:rsidRPr="00927DF9">
                          <w:rPr>
                            <w:sz w:val="18"/>
                            <w:szCs w:val="18"/>
                          </w:rPr>
                          <w:t>4/9/2018</w:t>
                        </w:r>
                      </w:p>
                    </w:tc>
                    <w:tc>
                      <w:tcPr>
                        <w:tcW w:w="4251" w:type="dxa"/>
                        <w:tcBorders>
                          <w:top w:val="single" w:sz="4" w:space="0" w:color="auto"/>
                          <w:left w:val="single" w:sz="4" w:space="0" w:color="auto"/>
                          <w:bottom w:val="single" w:sz="4" w:space="0" w:color="auto"/>
                          <w:right w:val="single" w:sz="4" w:space="0" w:color="auto"/>
                        </w:tcBorders>
                        <w:hideMark/>
                      </w:tcPr>
                      <w:p w:rsidR="00927DF9" w:rsidRPr="00927DF9" w:rsidRDefault="00927DF9" w:rsidP="00927DF9">
                        <w:pPr>
                          <w:tabs>
                            <w:tab w:val="left" w:pos="566"/>
                          </w:tabs>
                          <w:spacing w:line="240" w:lineRule="exact"/>
                          <w:jc w:val="center"/>
                          <w:rPr>
                            <w:sz w:val="18"/>
                            <w:szCs w:val="18"/>
                          </w:rPr>
                        </w:pPr>
                        <w:r w:rsidRPr="00927DF9">
                          <w:rPr>
                            <w:sz w:val="18"/>
                            <w:szCs w:val="18"/>
                          </w:rPr>
                          <w:t>30525</w:t>
                        </w:r>
                      </w:p>
                    </w:tc>
                  </w:tr>
                  <w:tr w:rsidR="00927DF9" w:rsidRPr="00927DF9">
                    <w:trPr>
                      <w:jc w:val="center"/>
                    </w:trPr>
                    <w:tc>
                      <w:tcPr>
                        <w:tcW w:w="8505" w:type="dxa"/>
                        <w:gridSpan w:val="3"/>
                        <w:tcBorders>
                          <w:top w:val="single" w:sz="4" w:space="0" w:color="auto"/>
                          <w:left w:val="single" w:sz="4" w:space="0" w:color="auto"/>
                          <w:bottom w:val="nil"/>
                          <w:right w:val="single" w:sz="4" w:space="0" w:color="auto"/>
                        </w:tcBorders>
                        <w:hideMark/>
                      </w:tcPr>
                      <w:p w:rsidR="00927DF9" w:rsidRPr="00927DF9" w:rsidRDefault="00927DF9" w:rsidP="00927DF9">
                        <w:pPr>
                          <w:tabs>
                            <w:tab w:val="left" w:pos="566"/>
                          </w:tabs>
                          <w:spacing w:line="240" w:lineRule="exact"/>
                          <w:jc w:val="center"/>
                          <w:rPr>
                            <w:b/>
                            <w:sz w:val="18"/>
                            <w:szCs w:val="18"/>
                          </w:rPr>
                        </w:pPr>
                        <w:r w:rsidRPr="00927DF9">
                          <w:rPr>
                            <w:b/>
                            <w:sz w:val="18"/>
                            <w:szCs w:val="18"/>
                          </w:rPr>
                          <w:t>Tebliğde Değişiklik Yapan Tebliğlerin Yayımlandığı Resmî Gazete'nin</w:t>
                        </w:r>
                      </w:p>
                    </w:tc>
                  </w:tr>
                  <w:tr w:rsidR="00927DF9" w:rsidRPr="00927DF9">
                    <w:trPr>
                      <w:jc w:val="center"/>
                    </w:trPr>
                    <w:tc>
                      <w:tcPr>
                        <w:tcW w:w="4254" w:type="dxa"/>
                        <w:gridSpan w:val="2"/>
                        <w:tcBorders>
                          <w:top w:val="nil"/>
                          <w:left w:val="single" w:sz="4" w:space="0" w:color="auto"/>
                          <w:bottom w:val="single" w:sz="4" w:space="0" w:color="auto"/>
                          <w:right w:val="nil"/>
                        </w:tcBorders>
                        <w:hideMark/>
                      </w:tcPr>
                      <w:p w:rsidR="00927DF9" w:rsidRPr="00927DF9" w:rsidRDefault="00927DF9" w:rsidP="00927DF9">
                        <w:pPr>
                          <w:tabs>
                            <w:tab w:val="left" w:pos="566"/>
                          </w:tabs>
                          <w:spacing w:line="240" w:lineRule="exact"/>
                          <w:jc w:val="center"/>
                          <w:rPr>
                            <w:b/>
                            <w:sz w:val="18"/>
                            <w:szCs w:val="18"/>
                          </w:rPr>
                        </w:pPr>
                        <w:r w:rsidRPr="00927DF9">
                          <w:rPr>
                            <w:b/>
                            <w:sz w:val="18"/>
                            <w:szCs w:val="18"/>
                          </w:rPr>
                          <w:t>Tarihi</w:t>
                        </w:r>
                      </w:p>
                    </w:tc>
                    <w:tc>
                      <w:tcPr>
                        <w:tcW w:w="4251" w:type="dxa"/>
                        <w:tcBorders>
                          <w:top w:val="nil"/>
                          <w:left w:val="nil"/>
                          <w:bottom w:val="single" w:sz="4" w:space="0" w:color="auto"/>
                          <w:right w:val="single" w:sz="4" w:space="0" w:color="auto"/>
                        </w:tcBorders>
                        <w:hideMark/>
                      </w:tcPr>
                      <w:p w:rsidR="00927DF9" w:rsidRPr="00927DF9" w:rsidRDefault="00927DF9" w:rsidP="00927DF9">
                        <w:pPr>
                          <w:tabs>
                            <w:tab w:val="left" w:pos="566"/>
                          </w:tabs>
                          <w:spacing w:line="240" w:lineRule="exact"/>
                          <w:jc w:val="center"/>
                          <w:rPr>
                            <w:b/>
                            <w:sz w:val="18"/>
                            <w:szCs w:val="18"/>
                          </w:rPr>
                        </w:pPr>
                        <w:r w:rsidRPr="00927DF9">
                          <w:rPr>
                            <w:b/>
                            <w:sz w:val="18"/>
                            <w:szCs w:val="18"/>
                          </w:rPr>
                          <w:t>Sayısı</w:t>
                        </w:r>
                      </w:p>
                    </w:tc>
                  </w:tr>
                  <w:tr w:rsidR="00927DF9" w:rsidRPr="00927DF9">
                    <w:trPr>
                      <w:jc w:val="center"/>
                    </w:trPr>
                    <w:tc>
                      <w:tcPr>
                        <w:tcW w:w="437" w:type="dxa"/>
                        <w:tcBorders>
                          <w:top w:val="single" w:sz="4" w:space="0" w:color="auto"/>
                          <w:left w:val="single" w:sz="4" w:space="0" w:color="auto"/>
                          <w:bottom w:val="single" w:sz="4" w:space="0" w:color="auto"/>
                          <w:right w:val="single" w:sz="4" w:space="0" w:color="auto"/>
                        </w:tcBorders>
                        <w:hideMark/>
                      </w:tcPr>
                      <w:p w:rsidR="00927DF9" w:rsidRPr="00927DF9" w:rsidRDefault="00927DF9" w:rsidP="00927DF9">
                        <w:pPr>
                          <w:tabs>
                            <w:tab w:val="left" w:pos="566"/>
                          </w:tabs>
                          <w:spacing w:line="240" w:lineRule="exact"/>
                          <w:jc w:val="center"/>
                          <w:rPr>
                            <w:sz w:val="18"/>
                            <w:szCs w:val="18"/>
                          </w:rPr>
                        </w:pPr>
                        <w:r w:rsidRPr="00927DF9">
                          <w:rPr>
                            <w:sz w:val="18"/>
                            <w:szCs w:val="18"/>
                          </w:rPr>
                          <w:t>1-</w:t>
                        </w:r>
                      </w:p>
                    </w:tc>
                    <w:tc>
                      <w:tcPr>
                        <w:tcW w:w="3817" w:type="dxa"/>
                        <w:tcBorders>
                          <w:top w:val="single" w:sz="4" w:space="0" w:color="auto"/>
                          <w:left w:val="single" w:sz="4" w:space="0" w:color="auto"/>
                          <w:bottom w:val="single" w:sz="4" w:space="0" w:color="auto"/>
                          <w:right w:val="single" w:sz="4" w:space="0" w:color="auto"/>
                        </w:tcBorders>
                        <w:hideMark/>
                      </w:tcPr>
                      <w:p w:rsidR="00927DF9" w:rsidRPr="00927DF9" w:rsidRDefault="00927DF9" w:rsidP="00927DF9">
                        <w:pPr>
                          <w:tabs>
                            <w:tab w:val="left" w:pos="708"/>
                          </w:tabs>
                          <w:spacing w:line="240" w:lineRule="exact"/>
                          <w:ind w:right="469"/>
                          <w:jc w:val="center"/>
                          <w:rPr>
                            <w:sz w:val="18"/>
                            <w:szCs w:val="18"/>
                          </w:rPr>
                        </w:pPr>
                        <w:r w:rsidRPr="00927DF9">
                          <w:rPr>
                            <w:sz w:val="18"/>
                            <w:szCs w:val="18"/>
                          </w:rPr>
                          <w:t>3/3/2019</w:t>
                        </w:r>
                      </w:p>
                    </w:tc>
                    <w:tc>
                      <w:tcPr>
                        <w:tcW w:w="4251" w:type="dxa"/>
                        <w:tcBorders>
                          <w:top w:val="single" w:sz="4" w:space="0" w:color="auto"/>
                          <w:left w:val="single" w:sz="4" w:space="0" w:color="auto"/>
                          <w:bottom w:val="single" w:sz="4" w:space="0" w:color="auto"/>
                          <w:right w:val="single" w:sz="4" w:space="0" w:color="auto"/>
                        </w:tcBorders>
                        <w:hideMark/>
                      </w:tcPr>
                      <w:p w:rsidR="00927DF9" w:rsidRPr="00927DF9" w:rsidRDefault="00927DF9" w:rsidP="00927DF9">
                        <w:pPr>
                          <w:tabs>
                            <w:tab w:val="left" w:pos="566"/>
                          </w:tabs>
                          <w:spacing w:line="240" w:lineRule="exact"/>
                          <w:jc w:val="center"/>
                          <w:rPr>
                            <w:sz w:val="18"/>
                            <w:szCs w:val="18"/>
                          </w:rPr>
                        </w:pPr>
                        <w:r w:rsidRPr="00927DF9">
                          <w:rPr>
                            <w:sz w:val="18"/>
                            <w:szCs w:val="18"/>
                          </w:rPr>
                          <w:t>30703</w:t>
                        </w:r>
                      </w:p>
                    </w:tc>
                  </w:tr>
                  <w:tr w:rsidR="00927DF9" w:rsidRPr="00927DF9">
                    <w:trPr>
                      <w:jc w:val="center"/>
                    </w:trPr>
                    <w:tc>
                      <w:tcPr>
                        <w:tcW w:w="437" w:type="dxa"/>
                        <w:tcBorders>
                          <w:top w:val="single" w:sz="4" w:space="0" w:color="auto"/>
                          <w:left w:val="single" w:sz="4" w:space="0" w:color="auto"/>
                          <w:bottom w:val="single" w:sz="4" w:space="0" w:color="auto"/>
                          <w:right w:val="single" w:sz="4" w:space="0" w:color="auto"/>
                        </w:tcBorders>
                        <w:hideMark/>
                      </w:tcPr>
                      <w:p w:rsidR="00927DF9" w:rsidRPr="00927DF9" w:rsidRDefault="00927DF9" w:rsidP="00927DF9">
                        <w:pPr>
                          <w:tabs>
                            <w:tab w:val="left" w:pos="566"/>
                          </w:tabs>
                          <w:spacing w:line="240" w:lineRule="exact"/>
                          <w:jc w:val="center"/>
                          <w:rPr>
                            <w:sz w:val="18"/>
                            <w:szCs w:val="18"/>
                          </w:rPr>
                        </w:pPr>
                        <w:r w:rsidRPr="00927DF9">
                          <w:rPr>
                            <w:sz w:val="18"/>
                            <w:szCs w:val="18"/>
                          </w:rPr>
                          <w:t>2-</w:t>
                        </w:r>
                      </w:p>
                    </w:tc>
                    <w:tc>
                      <w:tcPr>
                        <w:tcW w:w="3817" w:type="dxa"/>
                        <w:tcBorders>
                          <w:top w:val="single" w:sz="4" w:space="0" w:color="auto"/>
                          <w:left w:val="single" w:sz="4" w:space="0" w:color="auto"/>
                          <w:bottom w:val="single" w:sz="4" w:space="0" w:color="auto"/>
                          <w:right w:val="single" w:sz="4" w:space="0" w:color="auto"/>
                        </w:tcBorders>
                        <w:hideMark/>
                      </w:tcPr>
                      <w:p w:rsidR="00927DF9" w:rsidRPr="00927DF9" w:rsidRDefault="00927DF9" w:rsidP="00927DF9">
                        <w:pPr>
                          <w:tabs>
                            <w:tab w:val="left" w:pos="708"/>
                          </w:tabs>
                          <w:spacing w:line="240" w:lineRule="exact"/>
                          <w:ind w:right="469"/>
                          <w:jc w:val="center"/>
                          <w:rPr>
                            <w:sz w:val="18"/>
                            <w:szCs w:val="18"/>
                          </w:rPr>
                        </w:pPr>
                        <w:r w:rsidRPr="00927DF9">
                          <w:rPr>
                            <w:sz w:val="18"/>
                            <w:szCs w:val="18"/>
                          </w:rPr>
                          <w:t>31/8/2019</w:t>
                        </w:r>
                      </w:p>
                    </w:tc>
                    <w:tc>
                      <w:tcPr>
                        <w:tcW w:w="4251" w:type="dxa"/>
                        <w:tcBorders>
                          <w:top w:val="single" w:sz="4" w:space="0" w:color="auto"/>
                          <w:left w:val="single" w:sz="4" w:space="0" w:color="auto"/>
                          <w:bottom w:val="single" w:sz="4" w:space="0" w:color="auto"/>
                          <w:right w:val="single" w:sz="4" w:space="0" w:color="auto"/>
                        </w:tcBorders>
                        <w:hideMark/>
                      </w:tcPr>
                      <w:p w:rsidR="00927DF9" w:rsidRPr="00927DF9" w:rsidRDefault="00927DF9" w:rsidP="00927DF9">
                        <w:pPr>
                          <w:tabs>
                            <w:tab w:val="left" w:pos="566"/>
                          </w:tabs>
                          <w:spacing w:line="240" w:lineRule="exact"/>
                          <w:jc w:val="center"/>
                          <w:rPr>
                            <w:sz w:val="18"/>
                            <w:szCs w:val="18"/>
                          </w:rPr>
                        </w:pPr>
                        <w:r w:rsidRPr="00927DF9">
                          <w:rPr>
                            <w:sz w:val="18"/>
                            <w:szCs w:val="18"/>
                          </w:rPr>
                          <w:t>30874</w:t>
                        </w:r>
                      </w:p>
                    </w:tc>
                  </w:tr>
                </w:tbl>
                <w:p w:rsidR="00927DF9" w:rsidRPr="00927DF9" w:rsidRDefault="00927DF9" w:rsidP="00927DF9">
                  <w:pPr>
                    <w:spacing w:after="0" w:line="240" w:lineRule="exact"/>
                    <w:jc w:val="center"/>
                    <w:rPr>
                      <w:rFonts w:ascii="Times New Roman" w:eastAsia="Times New Roman" w:hAnsi="Times New Roman" w:cs="Times New Roman"/>
                      <w:sz w:val="18"/>
                      <w:szCs w:val="18"/>
                      <w:lang w:eastAsia="tr-TR"/>
                    </w:rPr>
                  </w:pPr>
                </w:p>
                <w:p w:rsidR="00927DF9" w:rsidRPr="00927DF9" w:rsidRDefault="00927DF9" w:rsidP="00927DF9">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927DF9" w:rsidRPr="00927DF9" w:rsidRDefault="00927DF9" w:rsidP="00927DF9">
            <w:pPr>
              <w:spacing w:after="0" w:line="240" w:lineRule="auto"/>
              <w:jc w:val="center"/>
              <w:rPr>
                <w:rFonts w:ascii="Times New Roman" w:eastAsia="Times New Roman" w:hAnsi="Times New Roman" w:cs="Times New Roman"/>
                <w:sz w:val="20"/>
                <w:szCs w:val="20"/>
                <w:lang w:eastAsia="tr-TR"/>
              </w:rPr>
            </w:pPr>
          </w:p>
        </w:tc>
        <w:bookmarkStart w:id="0" w:name="_GoBack"/>
        <w:bookmarkEnd w:id="0"/>
      </w:tr>
    </w:tbl>
    <w:p w:rsidR="00927DF9" w:rsidRDefault="00927DF9">
      <w:r>
        <w:rPr>
          <w:noProof/>
        </w:rPr>
        <w:lastRenderedPageBreak/>
        <w:drawing>
          <wp:inline distT="0" distB="0" distL="0" distR="0" wp14:anchorId="001FD7EE" wp14:editId="74FC8206">
            <wp:extent cx="6181725" cy="728218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82620" cy="7283234"/>
                    </a:xfrm>
                    <a:prstGeom prst="rect">
                      <a:avLst/>
                    </a:prstGeom>
                  </pic:spPr>
                </pic:pic>
              </a:graphicData>
            </a:graphic>
          </wp:inline>
        </w:drawing>
      </w:r>
    </w:p>
    <w:sectPr w:rsidR="00927DF9" w:rsidSect="00927DF9">
      <w:pgSz w:w="11906" w:h="16838"/>
      <w:pgMar w:top="284" w:right="794" w:bottom="28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F9"/>
    <w:rsid w:val="00927D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50EDA"/>
  <w15:chartTrackingRefBased/>
  <w15:docId w15:val="{7AA78DE0-877A-4A49-AB4A-940BACC4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927DF9"/>
    <w:rPr>
      <w:color w:val="0000FF"/>
      <w:u w:val="single"/>
    </w:rPr>
  </w:style>
  <w:style w:type="paragraph" w:styleId="NormalWeb">
    <w:name w:val="Normal (Web)"/>
    <w:basedOn w:val="Normal"/>
    <w:semiHidden/>
    <w:unhideWhenUsed/>
    <w:rsid w:val="00927D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927DF9"/>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927DF9"/>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927DF9"/>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927DF9"/>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rsid w:val="00927DF9"/>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667248">
      <w:bodyDiv w:val="1"/>
      <w:marLeft w:val="0"/>
      <w:marRight w:val="0"/>
      <w:marTop w:val="0"/>
      <w:marBottom w:val="0"/>
      <w:divBdr>
        <w:top w:val="none" w:sz="0" w:space="0" w:color="auto"/>
        <w:left w:val="none" w:sz="0" w:space="0" w:color="auto"/>
        <w:bottom w:val="none" w:sz="0" w:space="0" w:color="auto"/>
        <w:right w:val="none" w:sz="0" w:space="0" w:color="auto"/>
      </w:divBdr>
      <w:divsChild>
        <w:div w:id="1734694103">
          <w:marLeft w:val="0"/>
          <w:marRight w:val="0"/>
          <w:marTop w:val="0"/>
          <w:marBottom w:val="0"/>
          <w:divBdr>
            <w:top w:val="none" w:sz="0" w:space="0" w:color="auto"/>
            <w:left w:val="none" w:sz="0" w:space="0" w:color="auto"/>
            <w:bottom w:val="none" w:sz="0" w:space="0" w:color="auto"/>
            <w:right w:val="none" w:sz="0" w:space="0" w:color="auto"/>
          </w:divBdr>
          <w:divsChild>
            <w:div w:id="1430928784">
              <w:marLeft w:val="0"/>
              <w:marRight w:val="0"/>
              <w:marTop w:val="0"/>
              <w:marBottom w:val="0"/>
              <w:divBdr>
                <w:top w:val="none" w:sz="0" w:space="0" w:color="auto"/>
                <w:left w:val="none" w:sz="0" w:space="0" w:color="auto"/>
                <w:bottom w:val="none" w:sz="0" w:space="0" w:color="auto"/>
                <w:right w:val="none" w:sz="0" w:space="0" w:color="auto"/>
              </w:divBdr>
              <w:divsChild>
                <w:div w:id="1316030650">
                  <w:marLeft w:val="0"/>
                  <w:marRight w:val="0"/>
                  <w:marTop w:val="0"/>
                  <w:marBottom w:val="0"/>
                  <w:divBdr>
                    <w:top w:val="none" w:sz="0" w:space="0" w:color="auto"/>
                    <w:left w:val="none" w:sz="0" w:space="0" w:color="auto"/>
                    <w:bottom w:val="none" w:sz="0" w:space="0" w:color="auto"/>
                    <w:right w:val="none" w:sz="0" w:space="0" w:color="auto"/>
                  </w:divBdr>
                  <w:divsChild>
                    <w:div w:id="12101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2020-01-02T05:58:00Z</dcterms:created>
  <dcterms:modified xsi:type="dcterms:W3CDTF">2020-01-02T06:01:00Z</dcterms:modified>
</cp:coreProperties>
</file>